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9C5" w:rsidRDefault="008F19C5" w:rsidP="008F19C5">
      <w:pPr>
        <w:spacing w:after="0" w:line="240" w:lineRule="auto"/>
        <w:ind w:firstLine="709"/>
        <w:jc w:val="both"/>
        <w:rPr>
          <w:rFonts w:ascii="Times New Roman" w:hAnsi="Times New Roman"/>
          <w:b/>
          <w:sz w:val="28"/>
          <w:szCs w:val="28"/>
          <w:lang w:val="kk-KZ"/>
        </w:rPr>
      </w:pPr>
      <w:r w:rsidRPr="008F19C5">
        <w:rPr>
          <w:rFonts w:ascii="Times New Roman" w:hAnsi="Times New Roman"/>
          <w:b/>
          <w:sz w:val="28"/>
          <w:szCs w:val="28"/>
          <w:lang w:val="kk-KZ"/>
        </w:rPr>
        <w:t>Практикалық сабақ 9</w:t>
      </w:r>
    </w:p>
    <w:p w:rsidR="008F19C5" w:rsidRPr="00DF3F3B" w:rsidRDefault="008F19C5" w:rsidP="008F19C5">
      <w:pPr>
        <w:spacing w:after="0" w:line="240" w:lineRule="auto"/>
        <w:ind w:firstLine="709"/>
        <w:jc w:val="both"/>
        <w:rPr>
          <w:rFonts w:ascii="Times New Roman" w:hAnsi="Times New Roman"/>
          <w:b/>
          <w:sz w:val="16"/>
          <w:szCs w:val="16"/>
          <w:lang w:val="kk-KZ"/>
        </w:rPr>
      </w:pPr>
    </w:p>
    <w:p w:rsidR="008F19C5" w:rsidRDefault="008F19C5" w:rsidP="008F19C5">
      <w:pPr>
        <w:spacing w:after="0" w:line="240" w:lineRule="auto"/>
        <w:ind w:firstLine="709"/>
        <w:jc w:val="both"/>
        <w:rPr>
          <w:rFonts w:ascii="Times New Roman" w:hAnsi="Times New Roman"/>
          <w:b/>
          <w:i/>
          <w:sz w:val="28"/>
          <w:szCs w:val="28"/>
          <w:lang w:val="kk-KZ"/>
        </w:rPr>
      </w:pPr>
      <w:r w:rsidRPr="00DF3F3B">
        <w:rPr>
          <w:rFonts w:ascii="Times New Roman" w:hAnsi="Times New Roman"/>
          <w:b/>
          <w:i/>
          <w:sz w:val="28"/>
          <w:szCs w:val="28"/>
          <w:lang w:val="kk-KZ"/>
        </w:rPr>
        <w:t>Мақсаты: Топырақты агрохимиялық тексеру және картограмма дайындау әдістемесі</w:t>
      </w:r>
    </w:p>
    <w:p w:rsidR="008F19C5" w:rsidRPr="00DF3F3B" w:rsidRDefault="008F19C5" w:rsidP="008F19C5">
      <w:pPr>
        <w:spacing w:after="0" w:line="240" w:lineRule="auto"/>
        <w:ind w:firstLine="709"/>
        <w:jc w:val="both"/>
        <w:rPr>
          <w:rFonts w:ascii="Times New Roman" w:hAnsi="Times New Roman"/>
          <w:b/>
          <w:i/>
          <w:sz w:val="16"/>
          <w:szCs w:val="16"/>
          <w:lang w:val="kk-KZ"/>
        </w:rPr>
      </w:pPr>
    </w:p>
    <w:p w:rsidR="008F19C5" w:rsidRPr="00AC5888" w:rsidRDefault="008F19C5" w:rsidP="008F19C5">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Қазақстан территориясы топырақ құрамы мен түрі жағынан сан алуан. Республикамызда негізінен қара, қара қоңыр, боз, сор, сортаң т.б. топырақ типтері кездеседі.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Соңғы жылдары ауыл шаруашылығына пайдалану үшін жаңадан игерілетін жерлер болмағандықтан егін шаруашылығын дамыту үшін топырақ құнарлылығын арттыруға басты назар аударылуы тиіс.</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Халқымызда «Күте білсең жер жомарт», «Қара жер қарыз арқаламайды», «Жері байдың елі бай» деген даналық сөздер топырақты дұрыс пайдалану қажет екенін білдіреді.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Ауыл шаруашылығы дақылдарының өнімділігін жоғарлату үшін оларды өсіру кезінде жаңа технологияны кеңінен пайдалану қажет. Қазіргі кезде бұл салада елімізде мамандырылған шаруа қожалықтары ұйымдастырылған.</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Шаруашылықтың топырақ құнарлылығын сақтау және оның экологиялық жағдайын жақсарту, сондай- ақ тыңайтқыштарды тиімді қолдану үшін топырақты агрохимиялық тексерудің маңызы зор.</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Агрохимиялық тексеру – топырақтың құнарлылығы мен оның агрохимиялық көрсеткіштерінің өзгеруін бақылау мақсатында жүргізіледі. Тексеру нәтижесінде алынған мәліметтерді топырақты мелиорациялау құжаттарын, егістікті кешенді түрде агрохимиялық жолмен құнарландыру және әрбір егілетін дақылдың ерекшелігіне сәйкес тыңайтқыштарды қолдану жоспарын дайындау кезінде пай- даланады.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Республикамызда топырақ-климат аймақтарының және шаруашылықта тыңайтқыш қолданудың деңгейінің әртүрлі болуына байланысты агрохимиялық тексеру жүргізу дәрежесі түрліше болып келеді.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Агрохимиялық тексеру тыңайтқыш қолдану деңгейі төмен шаруашылықтарда 5-7 жылда, ал тыңайтқыш қолдану деңгейі жоғары және суармалы жерлердегі шаруашылықтарда 3-4 жылда бір рет жүргізіледі. Осындай тексеру мерзімдері топырақ құнарлылығының өзгеру уақытын бақылауға және шаруашылықтың тыңайтқышты пайдалану жоспарына түзетулер енгізуге мүмкіндік береді. Агрохимиялық тексерудің мәліметтері бойынша шаруашылық топырағының агрохимиялық картограммасы дайындалады.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Агрохимиялық картограммада топырақтың қоректік заттармен қамтамасыз етілу дәрежесі, оның реакци- ясы, тұздылығы және эрозиялығының дәрежесі көрсетіледі. Агрохимиялық тексеруді жүргізу – орманды далалы және далалы аймақтарда 1:25000, шөлейт аймақта 1:50000, суар- малы егістік пен таулы облыстарда 1:5000 масштабтарда жүзеге асырылуы тиіс.</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Картограммаларды топырақ-климат жағдайы шама- лас келетін аймақтарға сәйкес келетіндей етіп жасайды. Мысалы Қазақстанның оңтүстік </w:t>
      </w:r>
      <w:r w:rsidRPr="00AC5888">
        <w:rPr>
          <w:rFonts w:ascii="Times New Roman" w:hAnsi="Times New Roman"/>
          <w:sz w:val="28"/>
          <w:szCs w:val="28"/>
          <w:lang w:val="kk-KZ"/>
        </w:rPr>
        <w:lastRenderedPageBreak/>
        <w:t>және оңтүстік-шығыс аймақтардағы суармалы егіншілік үшін топырақтағы қоректік элементтердің түрлері мен мөлшері, топырақтың қаншалықты сортаң екендігі, эрозияға қандай дәрежеде ұшырағандығы туралы мәлімет беретін картограммалар қажет. Топырақтағы агрохимиялық тексеру және картаға түсіру мынадай бөлімдерден тұрады: 1. Топырақты агрохимиялық тексеру жұмыстарын ұйымдастыру. 2. Далалық зерттеу жұмыстары. 3. Зертханалық агрохимиялық зерттеулер. 4. Агрохимиялық картограмманы дайындау. 5. Агрохимиялық үзінді дайындау</w:t>
      </w:r>
    </w:p>
    <w:p w:rsidR="008F19C5"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Топырақты агрохимиялық тексеру жұмыстарын ұйымдастыру Ең алдымен агрохимиялық тексеру жұмыстарының бағдарламасы жасалынады. Шаруашылық топырағының пайда болу жағдайын (климаты, өсімдігі, жер бедері, жы- ныстары), морфологиялық белгілерін және химиялық құрылымын сипаттайтын қолжазбаның және жарияланған материалдармен танысу керек. Сонан кейін топырақ картасының көшірмесін әзірлейді. Жұмыс жүргізілетін әрбір егіс танабының дақылдарының өнімі, тыңайтқыш қолдану деңгейі мен мелиорация жұмыстары жөніндегі соңғы 3-5 жылдардағы мәліметтерді жинайды. Егін жайды сипаттап қағазға түсіру шаруа қожалығының бастығы не- месе агрономның қатысуымен жүргізіледі. Егін жағдайын тексерудің ведомосі жасалып, оған мынадай мәліметтер енеді: шаруашылықтың аты, егін жайдың немесе учаскенің нөмірі және гектармен алынған көлемі, негізгі топырақ типінің (шартты белгісі), соңғы үш жылда өсірілген дақылдар, олардың агротехникасы (себу, өңдеу, тыңайту, суару) және әр гектардан алынған өнім (центнер есебімен), мұнан кейінгі жылдары егуге жоспарланған дақылдар мен олардың агро- техникасы. Сонан кейін жерді пайдалану жоспарының көшірмесін әзірлейді де далалық жұмыстарды орындаудың картографиялық негізін дайындайды. Топырақты агрохимиялық тексеру отрядының жетекшісі жұмыс жоспа- рын құрастырады, біріккен (аралас) топырақ үлгілерін алуға арналған дара учаскелердің көлемі мен санын анықтайды. Топырақтың аралас үлгісін алу үшін жұмысшылар звено- сы құрылып, олар қажетті құрал-жабдықтармен (бұрғы, қада, қапшық, күрек, пышақ, сантиметрлік бау, компас, қарындаш, этикетка, тексеру нәтижесін жазатын жорнал) қамтамасыз етіледі. Әр звено үш-төрт адамнан құрылғаны дұрыс әрі оларды арнаулы білімді маман-агрохимик басқарғаны жөн. Звено мүшелерінің міндеті шектелуі тиіс: </w:t>
      </w:r>
    </w:p>
    <w:p w:rsidR="008F19C5"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біреулері – учаскенің ұзындығын өлшейді, </w:t>
      </w:r>
    </w:p>
    <w:p w:rsidR="008F19C5"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екіншілері – топырақ үлгілерін алады, </w:t>
      </w:r>
    </w:p>
    <w:p w:rsidR="008F19C5"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үшіншілері – үлгілерді қапшыққа салады,</w:t>
      </w:r>
    </w:p>
    <w:p w:rsidR="008F19C5"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төртіншілері – қажетті жазбаларды түсіреді.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Онда аралас үлгі алынған шаруашылық аты, егін жай мен аралас үлгі нөмірі жазылып, сондай-ақ үлгіні алған адамның аты- жөні мен алынған күні көрсетіліп, үлгі буылады.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rPr>
        <w:t xml:space="preserve">Дала жұмыстары </w:t>
      </w:r>
      <w:proofErr w:type="spellStart"/>
      <w:r w:rsidRPr="00AC5888">
        <w:rPr>
          <w:rFonts w:ascii="Times New Roman" w:hAnsi="Times New Roman"/>
          <w:sz w:val="28"/>
          <w:szCs w:val="28"/>
        </w:rPr>
        <w:t>тексерелетін</w:t>
      </w:r>
      <w:proofErr w:type="spellEnd"/>
      <w:r w:rsidRPr="00AC5888">
        <w:rPr>
          <w:rFonts w:ascii="Times New Roman" w:hAnsi="Times New Roman"/>
          <w:sz w:val="28"/>
          <w:szCs w:val="28"/>
        </w:rPr>
        <w:t xml:space="preserve"> аймақтың </w:t>
      </w:r>
      <w:proofErr w:type="spellStart"/>
      <w:r w:rsidRPr="00AC5888">
        <w:rPr>
          <w:rFonts w:ascii="Times New Roman" w:hAnsi="Times New Roman"/>
          <w:sz w:val="28"/>
          <w:szCs w:val="28"/>
        </w:rPr>
        <w:t>егі</w:t>
      </w:r>
      <w:proofErr w:type="gramStart"/>
      <w:r w:rsidRPr="00AC5888">
        <w:rPr>
          <w:rFonts w:ascii="Times New Roman" w:hAnsi="Times New Roman"/>
          <w:sz w:val="28"/>
          <w:szCs w:val="28"/>
        </w:rPr>
        <w:t>ст</w:t>
      </w:r>
      <w:proofErr w:type="gramEnd"/>
      <w:r w:rsidRPr="00AC5888">
        <w:rPr>
          <w:rFonts w:ascii="Times New Roman" w:hAnsi="Times New Roman"/>
          <w:sz w:val="28"/>
          <w:szCs w:val="28"/>
        </w:rPr>
        <w:t>іктерін</w:t>
      </w:r>
      <w:proofErr w:type="spellEnd"/>
      <w:r w:rsidRPr="00AC5888">
        <w:rPr>
          <w:rFonts w:ascii="Times New Roman" w:hAnsi="Times New Roman"/>
          <w:sz w:val="28"/>
          <w:szCs w:val="28"/>
        </w:rPr>
        <w:t xml:space="preserve"> дара </w:t>
      </w:r>
      <w:proofErr w:type="spellStart"/>
      <w:r w:rsidRPr="00AC5888">
        <w:rPr>
          <w:rFonts w:ascii="Times New Roman" w:hAnsi="Times New Roman"/>
          <w:sz w:val="28"/>
          <w:szCs w:val="28"/>
        </w:rPr>
        <w:t>учаскелерге</w:t>
      </w:r>
      <w:proofErr w:type="spellEnd"/>
      <w:r w:rsidRPr="00AC5888">
        <w:rPr>
          <w:rFonts w:ascii="Times New Roman" w:hAnsi="Times New Roman"/>
          <w:sz w:val="28"/>
          <w:szCs w:val="28"/>
        </w:rPr>
        <w:t xml:space="preserve"> бөлуден </w:t>
      </w:r>
      <w:proofErr w:type="spellStart"/>
      <w:r w:rsidRPr="00AC5888">
        <w:rPr>
          <w:rFonts w:ascii="Times New Roman" w:hAnsi="Times New Roman"/>
          <w:sz w:val="28"/>
          <w:szCs w:val="28"/>
        </w:rPr>
        <w:t>басталады</w:t>
      </w:r>
      <w:proofErr w:type="spellEnd"/>
      <w:r w:rsidRPr="00AC5888">
        <w:rPr>
          <w:rFonts w:ascii="Times New Roman" w:hAnsi="Times New Roman"/>
          <w:sz w:val="28"/>
          <w:szCs w:val="28"/>
        </w:rPr>
        <w:t>. Бұл дара учаскелердің ә</w:t>
      </w:r>
      <w:proofErr w:type="gramStart"/>
      <w:r w:rsidRPr="00AC5888">
        <w:rPr>
          <w:rFonts w:ascii="Times New Roman" w:hAnsi="Times New Roman"/>
          <w:sz w:val="28"/>
          <w:szCs w:val="28"/>
        </w:rPr>
        <w:t>р</w:t>
      </w:r>
      <w:proofErr w:type="gramEnd"/>
      <w:r w:rsidRPr="00AC5888">
        <w:rPr>
          <w:rFonts w:ascii="Times New Roman" w:hAnsi="Times New Roman"/>
          <w:sz w:val="28"/>
          <w:szCs w:val="28"/>
        </w:rPr>
        <w:t xml:space="preserve">қайсысынан </w:t>
      </w:r>
      <w:proofErr w:type="spellStart"/>
      <w:r w:rsidRPr="00AC5888">
        <w:rPr>
          <w:rFonts w:ascii="Times New Roman" w:hAnsi="Times New Roman"/>
          <w:sz w:val="28"/>
          <w:szCs w:val="28"/>
        </w:rPr>
        <w:t>бір</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аралас</w:t>
      </w:r>
      <w:proofErr w:type="spellEnd"/>
      <w:r w:rsidRPr="00AC5888">
        <w:rPr>
          <w:rFonts w:ascii="Times New Roman" w:hAnsi="Times New Roman"/>
          <w:sz w:val="28"/>
          <w:szCs w:val="28"/>
        </w:rPr>
        <w:t xml:space="preserve"> топырақ үлгісі </w:t>
      </w:r>
      <w:proofErr w:type="spellStart"/>
      <w:r w:rsidRPr="00AC5888">
        <w:rPr>
          <w:rFonts w:ascii="Times New Roman" w:hAnsi="Times New Roman"/>
          <w:sz w:val="28"/>
          <w:szCs w:val="28"/>
        </w:rPr>
        <w:t>алынады</w:t>
      </w:r>
      <w:proofErr w:type="spellEnd"/>
      <w:r w:rsidRPr="00AC5888">
        <w:rPr>
          <w:rFonts w:ascii="Times New Roman" w:hAnsi="Times New Roman"/>
          <w:sz w:val="28"/>
          <w:szCs w:val="28"/>
        </w:rPr>
        <w:t xml:space="preserve">. Олардың көлемі топырақ және </w:t>
      </w:r>
      <w:proofErr w:type="spellStart"/>
      <w:r w:rsidRPr="00AC5888">
        <w:rPr>
          <w:rFonts w:ascii="Times New Roman" w:hAnsi="Times New Roman"/>
          <w:sz w:val="28"/>
          <w:szCs w:val="28"/>
        </w:rPr>
        <w:t>егілетін</w:t>
      </w:r>
      <w:proofErr w:type="spellEnd"/>
      <w:r w:rsidRPr="00AC5888">
        <w:rPr>
          <w:rFonts w:ascii="Times New Roman" w:hAnsi="Times New Roman"/>
          <w:sz w:val="28"/>
          <w:szCs w:val="28"/>
        </w:rPr>
        <w:t xml:space="preserve"> дақылдардың тү</w:t>
      </w:r>
      <w:proofErr w:type="gramStart"/>
      <w:r w:rsidRPr="00AC5888">
        <w:rPr>
          <w:rFonts w:ascii="Times New Roman" w:hAnsi="Times New Roman"/>
          <w:sz w:val="28"/>
          <w:szCs w:val="28"/>
        </w:rPr>
        <w:t>р</w:t>
      </w:r>
      <w:proofErr w:type="gramEnd"/>
      <w:r w:rsidRPr="00AC5888">
        <w:rPr>
          <w:rFonts w:ascii="Times New Roman" w:hAnsi="Times New Roman"/>
          <w:sz w:val="28"/>
          <w:szCs w:val="28"/>
        </w:rPr>
        <w:t xml:space="preserve">іне қарай әртүрлі </w:t>
      </w:r>
      <w:proofErr w:type="spellStart"/>
      <w:r w:rsidRPr="00AC5888">
        <w:rPr>
          <w:rFonts w:ascii="Times New Roman" w:hAnsi="Times New Roman"/>
          <w:sz w:val="28"/>
          <w:szCs w:val="28"/>
        </w:rPr>
        <w:t>болып</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келеді</w:t>
      </w:r>
      <w:proofErr w:type="spellEnd"/>
      <w:r w:rsidRPr="00AC5888">
        <w:rPr>
          <w:rFonts w:ascii="Times New Roman" w:hAnsi="Times New Roman"/>
          <w:sz w:val="28"/>
          <w:szCs w:val="28"/>
        </w:rPr>
        <w:t xml:space="preserve">. Біздің </w:t>
      </w:r>
      <w:proofErr w:type="spellStart"/>
      <w:r w:rsidRPr="00AC5888">
        <w:rPr>
          <w:rFonts w:ascii="Times New Roman" w:hAnsi="Times New Roman"/>
          <w:sz w:val="28"/>
          <w:szCs w:val="28"/>
        </w:rPr>
        <w:t>республикамызда</w:t>
      </w:r>
      <w:proofErr w:type="spellEnd"/>
      <w:r w:rsidRPr="00AC5888">
        <w:rPr>
          <w:rFonts w:ascii="Times New Roman" w:hAnsi="Times New Roman"/>
          <w:sz w:val="28"/>
          <w:szCs w:val="28"/>
        </w:rPr>
        <w:t xml:space="preserve"> тәлімі </w:t>
      </w:r>
      <w:proofErr w:type="spellStart"/>
      <w:r w:rsidRPr="00AC5888">
        <w:rPr>
          <w:rFonts w:ascii="Times New Roman" w:hAnsi="Times New Roman"/>
          <w:sz w:val="28"/>
          <w:szCs w:val="28"/>
        </w:rPr>
        <w:t>жер</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лерде</w:t>
      </w:r>
      <w:proofErr w:type="spellEnd"/>
      <w:r w:rsidRPr="00AC5888">
        <w:rPr>
          <w:rFonts w:ascii="Times New Roman" w:hAnsi="Times New Roman"/>
          <w:sz w:val="28"/>
          <w:szCs w:val="28"/>
        </w:rPr>
        <w:t xml:space="preserve"> дара учаскесінің көлемі 50 га, ал </w:t>
      </w:r>
      <w:proofErr w:type="spellStart"/>
      <w:r w:rsidRPr="00AC5888">
        <w:rPr>
          <w:rFonts w:ascii="Times New Roman" w:hAnsi="Times New Roman"/>
          <w:sz w:val="28"/>
          <w:szCs w:val="28"/>
        </w:rPr>
        <w:t>суармалы</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жерлерде</w:t>
      </w:r>
      <w:proofErr w:type="spellEnd"/>
      <w:r w:rsidRPr="00AC5888">
        <w:rPr>
          <w:rFonts w:ascii="Times New Roman" w:hAnsi="Times New Roman"/>
          <w:sz w:val="28"/>
          <w:szCs w:val="28"/>
        </w:rPr>
        <w:t xml:space="preserve"> 3-5 га аралығында </w:t>
      </w:r>
      <w:proofErr w:type="spellStart"/>
      <w:r w:rsidRPr="00AC5888">
        <w:rPr>
          <w:rFonts w:ascii="Times New Roman" w:hAnsi="Times New Roman"/>
          <w:sz w:val="28"/>
          <w:szCs w:val="28"/>
        </w:rPr>
        <w:t>болуы</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тиіс</w:t>
      </w:r>
      <w:proofErr w:type="spellEnd"/>
      <w:r w:rsidRPr="00AC5888">
        <w:rPr>
          <w:rFonts w:ascii="Times New Roman" w:hAnsi="Times New Roman"/>
          <w:sz w:val="28"/>
          <w:szCs w:val="28"/>
        </w:rPr>
        <w:t xml:space="preserve">. Дара учаскелердің </w:t>
      </w:r>
      <w:proofErr w:type="spellStart"/>
      <w:r w:rsidRPr="00AC5888">
        <w:rPr>
          <w:rFonts w:ascii="Times New Roman" w:hAnsi="Times New Roman"/>
          <w:sz w:val="28"/>
          <w:szCs w:val="28"/>
        </w:rPr>
        <w:t>пішіні</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негізінен</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тік</w:t>
      </w:r>
      <w:proofErr w:type="spellEnd"/>
      <w:r w:rsidRPr="00AC5888">
        <w:rPr>
          <w:rFonts w:ascii="Times New Roman" w:hAnsi="Times New Roman"/>
          <w:sz w:val="28"/>
          <w:szCs w:val="28"/>
        </w:rPr>
        <w:t xml:space="preserve"> бұрышты және </w:t>
      </w:r>
      <w:proofErr w:type="spellStart"/>
      <w:r w:rsidRPr="00AC5888">
        <w:rPr>
          <w:rFonts w:ascii="Times New Roman" w:hAnsi="Times New Roman"/>
          <w:sz w:val="28"/>
          <w:szCs w:val="28"/>
        </w:rPr>
        <w:t>ені</w:t>
      </w:r>
      <w:proofErr w:type="spellEnd"/>
      <w:r w:rsidRPr="00AC5888">
        <w:rPr>
          <w:rFonts w:ascii="Times New Roman" w:hAnsi="Times New Roman"/>
          <w:sz w:val="28"/>
          <w:szCs w:val="28"/>
        </w:rPr>
        <w:t xml:space="preserve"> ұзындығынан </w:t>
      </w:r>
      <w:proofErr w:type="spellStart"/>
      <w:r w:rsidRPr="00AC5888">
        <w:rPr>
          <w:rFonts w:ascii="Times New Roman" w:hAnsi="Times New Roman"/>
          <w:sz w:val="28"/>
          <w:szCs w:val="28"/>
        </w:rPr>
        <w:t>екі</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еседей</w:t>
      </w:r>
      <w:proofErr w:type="spellEnd"/>
      <w:r w:rsidRPr="00AC5888">
        <w:rPr>
          <w:rFonts w:ascii="Times New Roman" w:hAnsi="Times New Roman"/>
          <w:sz w:val="28"/>
          <w:szCs w:val="28"/>
        </w:rPr>
        <w:t xml:space="preserve"> қ</w:t>
      </w:r>
      <w:proofErr w:type="gramStart"/>
      <w:r w:rsidRPr="00AC5888">
        <w:rPr>
          <w:rFonts w:ascii="Times New Roman" w:hAnsi="Times New Roman"/>
          <w:sz w:val="28"/>
          <w:szCs w:val="28"/>
        </w:rPr>
        <w:t>ыс</w:t>
      </w:r>
      <w:proofErr w:type="gramEnd"/>
      <w:r w:rsidRPr="00AC5888">
        <w:rPr>
          <w:rFonts w:ascii="Times New Roman" w:hAnsi="Times New Roman"/>
          <w:sz w:val="28"/>
          <w:szCs w:val="28"/>
        </w:rPr>
        <w:t xml:space="preserve">қа болғаны дұрыс. </w:t>
      </w:r>
      <w:proofErr w:type="spellStart"/>
      <w:r w:rsidRPr="00AC5888">
        <w:rPr>
          <w:rFonts w:ascii="Times New Roman" w:hAnsi="Times New Roman"/>
          <w:sz w:val="28"/>
          <w:szCs w:val="28"/>
        </w:rPr>
        <w:t>Тексерілетін</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танаптарды</w:t>
      </w:r>
      <w:proofErr w:type="spellEnd"/>
      <w:r w:rsidRPr="00AC5888">
        <w:rPr>
          <w:rFonts w:ascii="Times New Roman" w:hAnsi="Times New Roman"/>
          <w:sz w:val="28"/>
          <w:szCs w:val="28"/>
        </w:rPr>
        <w:t xml:space="preserve"> дара </w:t>
      </w:r>
      <w:proofErr w:type="spellStart"/>
      <w:r w:rsidRPr="00AC5888">
        <w:rPr>
          <w:rFonts w:ascii="Times New Roman" w:hAnsi="Times New Roman"/>
          <w:sz w:val="28"/>
          <w:szCs w:val="28"/>
        </w:rPr>
        <w:t>учаскелерге</w:t>
      </w:r>
      <w:proofErr w:type="spellEnd"/>
      <w:r w:rsidRPr="00AC5888">
        <w:rPr>
          <w:rFonts w:ascii="Times New Roman" w:hAnsi="Times New Roman"/>
          <w:sz w:val="28"/>
          <w:szCs w:val="28"/>
        </w:rPr>
        <w:t xml:space="preserve"> толық бөлі</w:t>
      </w:r>
      <w:proofErr w:type="gramStart"/>
      <w:r w:rsidRPr="00AC5888">
        <w:rPr>
          <w:rFonts w:ascii="Times New Roman" w:hAnsi="Times New Roman"/>
          <w:sz w:val="28"/>
          <w:szCs w:val="28"/>
        </w:rPr>
        <w:t>п</w:t>
      </w:r>
      <w:proofErr w:type="gramEnd"/>
      <w:r w:rsidRPr="00AC5888">
        <w:rPr>
          <w:rFonts w:ascii="Times New Roman" w:hAnsi="Times New Roman"/>
          <w:sz w:val="28"/>
          <w:szCs w:val="28"/>
        </w:rPr>
        <w:t xml:space="preserve"> болғаннан </w:t>
      </w:r>
      <w:proofErr w:type="spellStart"/>
      <w:r w:rsidRPr="00AC5888">
        <w:rPr>
          <w:rFonts w:ascii="Times New Roman" w:hAnsi="Times New Roman"/>
          <w:sz w:val="28"/>
          <w:szCs w:val="28"/>
        </w:rPr>
        <w:t>кейін</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оларды</w:t>
      </w:r>
      <w:proofErr w:type="spellEnd"/>
      <w:r w:rsidRPr="00AC5888">
        <w:rPr>
          <w:rFonts w:ascii="Times New Roman" w:hAnsi="Times New Roman"/>
          <w:sz w:val="28"/>
          <w:szCs w:val="28"/>
        </w:rPr>
        <w:t xml:space="preserve"> нөмірлейді де әрбір звено өз </w:t>
      </w:r>
      <w:proofErr w:type="spellStart"/>
      <w:r w:rsidRPr="00AC5888">
        <w:rPr>
          <w:rFonts w:ascii="Times New Roman" w:hAnsi="Times New Roman"/>
          <w:sz w:val="28"/>
          <w:szCs w:val="28"/>
        </w:rPr>
        <w:t>территориясына</w:t>
      </w:r>
      <w:proofErr w:type="spellEnd"/>
      <w:r w:rsidRPr="00AC5888">
        <w:rPr>
          <w:rFonts w:ascii="Times New Roman" w:hAnsi="Times New Roman"/>
          <w:sz w:val="28"/>
          <w:szCs w:val="28"/>
        </w:rPr>
        <w:t xml:space="preserve"> байқау жүргізеді. </w:t>
      </w:r>
      <w:proofErr w:type="spellStart"/>
      <w:r w:rsidRPr="00AC5888">
        <w:rPr>
          <w:rFonts w:ascii="Times New Roman" w:hAnsi="Times New Roman"/>
          <w:sz w:val="28"/>
          <w:szCs w:val="28"/>
        </w:rPr>
        <w:t>Сонан</w:t>
      </w:r>
      <w:proofErr w:type="spellEnd"/>
      <w:r w:rsidRPr="00AC5888">
        <w:rPr>
          <w:rFonts w:ascii="Times New Roman" w:hAnsi="Times New Roman"/>
          <w:sz w:val="28"/>
          <w:szCs w:val="28"/>
        </w:rPr>
        <w:t xml:space="preserve"> соң дара учаскелердің </w:t>
      </w:r>
      <w:proofErr w:type="spellStart"/>
      <w:r w:rsidRPr="00AC5888">
        <w:rPr>
          <w:rFonts w:ascii="Times New Roman" w:hAnsi="Times New Roman"/>
          <w:sz w:val="28"/>
          <w:szCs w:val="28"/>
        </w:rPr>
        <w:t>шекараларына</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белгілер</w:t>
      </w:r>
      <w:proofErr w:type="spellEnd"/>
      <w:r w:rsidRPr="00AC5888">
        <w:rPr>
          <w:rFonts w:ascii="Times New Roman" w:hAnsi="Times New Roman"/>
          <w:sz w:val="28"/>
          <w:szCs w:val="28"/>
        </w:rPr>
        <w:t xml:space="preserve"> қояды да </w:t>
      </w:r>
      <w:proofErr w:type="spellStart"/>
      <w:r w:rsidRPr="00AC5888">
        <w:rPr>
          <w:rFonts w:ascii="Times New Roman" w:hAnsi="Times New Roman"/>
          <w:sz w:val="28"/>
          <w:szCs w:val="28"/>
        </w:rPr>
        <w:t>аралас</w:t>
      </w:r>
      <w:proofErr w:type="spellEnd"/>
      <w:r w:rsidRPr="00AC5888">
        <w:rPr>
          <w:rFonts w:ascii="Times New Roman" w:hAnsi="Times New Roman"/>
          <w:sz w:val="28"/>
          <w:szCs w:val="28"/>
        </w:rPr>
        <w:t xml:space="preserve"> топырақ үлгілерін алуға </w:t>
      </w:r>
      <w:proofErr w:type="spellStart"/>
      <w:r w:rsidRPr="00AC5888">
        <w:rPr>
          <w:rFonts w:ascii="Times New Roman" w:hAnsi="Times New Roman"/>
          <w:sz w:val="28"/>
          <w:szCs w:val="28"/>
        </w:rPr>
        <w:t>кіріседі</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Аралас</w:t>
      </w:r>
      <w:proofErr w:type="spellEnd"/>
      <w:r w:rsidRPr="00AC5888">
        <w:rPr>
          <w:rFonts w:ascii="Times New Roman" w:hAnsi="Times New Roman"/>
          <w:sz w:val="28"/>
          <w:szCs w:val="28"/>
        </w:rPr>
        <w:t xml:space="preserve"> топырақ үлгісін құрайтын </w:t>
      </w:r>
      <w:proofErr w:type="spellStart"/>
      <w:r w:rsidRPr="00AC5888">
        <w:rPr>
          <w:rFonts w:ascii="Times New Roman" w:hAnsi="Times New Roman"/>
          <w:sz w:val="28"/>
          <w:szCs w:val="28"/>
        </w:rPr>
        <w:t>дербес</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сынамаларды</w:t>
      </w:r>
      <w:proofErr w:type="spellEnd"/>
      <w:r w:rsidRPr="00AC5888">
        <w:rPr>
          <w:rFonts w:ascii="Times New Roman" w:hAnsi="Times New Roman"/>
          <w:sz w:val="28"/>
          <w:szCs w:val="28"/>
        </w:rPr>
        <w:t xml:space="preserve"> маршруттық сызықтар </w:t>
      </w:r>
      <w:proofErr w:type="spellStart"/>
      <w:r w:rsidRPr="00AC5888">
        <w:rPr>
          <w:rFonts w:ascii="Times New Roman" w:hAnsi="Times New Roman"/>
          <w:sz w:val="28"/>
          <w:szCs w:val="28"/>
        </w:rPr>
        <w:t>бойынша</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мынадай</w:t>
      </w:r>
      <w:proofErr w:type="spellEnd"/>
      <w:r w:rsidRPr="00AC5888">
        <w:rPr>
          <w:rFonts w:ascii="Times New Roman" w:hAnsi="Times New Roman"/>
          <w:sz w:val="28"/>
          <w:szCs w:val="28"/>
        </w:rPr>
        <w:t xml:space="preserve"> тәртіппен </w:t>
      </w:r>
      <w:proofErr w:type="spellStart"/>
      <w:r w:rsidRPr="00AC5888">
        <w:rPr>
          <w:rFonts w:ascii="Times New Roman" w:hAnsi="Times New Roman"/>
          <w:sz w:val="28"/>
          <w:szCs w:val="28"/>
        </w:rPr>
        <w:t>алады</w:t>
      </w:r>
      <w:proofErr w:type="spellEnd"/>
      <w:r w:rsidRPr="00AC5888">
        <w:rPr>
          <w:rFonts w:ascii="Times New Roman" w:hAnsi="Times New Roman"/>
          <w:sz w:val="28"/>
          <w:szCs w:val="28"/>
        </w:rPr>
        <w:t xml:space="preserve"> (44-сурет).</w:t>
      </w:r>
    </w:p>
    <w:p w:rsidR="008F19C5" w:rsidRPr="00AC5888" w:rsidRDefault="008F19C5" w:rsidP="008F19C5">
      <w:pPr>
        <w:spacing w:after="0" w:line="240" w:lineRule="auto"/>
        <w:ind w:firstLine="709"/>
        <w:jc w:val="both"/>
        <w:rPr>
          <w:rFonts w:ascii="Times New Roman" w:hAnsi="Times New Roman"/>
          <w:sz w:val="28"/>
          <w:szCs w:val="28"/>
          <w:lang w:val="kk-KZ"/>
        </w:rPr>
      </w:pPr>
      <w:r>
        <w:rPr>
          <w:rFonts w:ascii="Times New Roman" w:hAnsi="Times New Roman"/>
          <w:noProof/>
          <w:sz w:val="28"/>
          <w:szCs w:val="28"/>
        </w:rPr>
        <w:drawing>
          <wp:inline distT="0" distB="0" distL="0" distR="0">
            <wp:extent cx="6088380" cy="2858770"/>
            <wp:effectExtent l="19050" t="0" r="7620" b="0"/>
            <wp:docPr id="1"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4" cstate="print"/>
                    <a:srcRect l="54005" t="36176" r="15657" b="38501"/>
                    <a:stretch>
                      <a:fillRect/>
                    </a:stretch>
                  </pic:blipFill>
                  <pic:spPr bwMode="auto">
                    <a:xfrm>
                      <a:off x="0" y="0"/>
                      <a:ext cx="6088380" cy="2858770"/>
                    </a:xfrm>
                    <a:prstGeom prst="rect">
                      <a:avLst/>
                    </a:prstGeom>
                    <a:noFill/>
                    <a:ln w="9525">
                      <a:noFill/>
                      <a:miter lim="800000"/>
                      <a:headEnd/>
                      <a:tailEnd/>
                    </a:ln>
                  </pic:spPr>
                </pic:pic>
              </a:graphicData>
            </a:graphic>
          </wp:inline>
        </w:drawing>
      </w:r>
    </w:p>
    <w:p w:rsidR="008F19C5" w:rsidRPr="00AC5888" w:rsidRDefault="008F19C5" w:rsidP="008F19C5">
      <w:pPr>
        <w:spacing w:after="0" w:line="240" w:lineRule="auto"/>
        <w:ind w:firstLine="709"/>
        <w:jc w:val="both"/>
        <w:rPr>
          <w:rFonts w:ascii="Times New Roman" w:hAnsi="Times New Roman"/>
          <w:sz w:val="28"/>
          <w:szCs w:val="28"/>
          <w:lang w:val="kk-KZ"/>
        </w:rPr>
      </w:pPr>
    </w:p>
    <w:p w:rsidR="008F19C5" w:rsidRPr="00AC5888" w:rsidRDefault="008F19C5" w:rsidP="008F19C5">
      <w:pPr>
        <w:spacing w:after="0" w:line="240" w:lineRule="auto"/>
        <w:ind w:firstLine="709"/>
        <w:jc w:val="both"/>
        <w:rPr>
          <w:rFonts w:ascii="Times New Roman" w:hAnsi="Times New Roman"/>
          <w:sz w:val="28"/>
          <w:szCs w:val="28"/>
          <w:lang w:val="kk-KZ"/>
        </w:rPr>
      </w:pPr>
    </w:p>
    <w:p w:rsidR="008F19C5" w:rsidRPr="00540B01" w:rsidRDefault="008F19C5" w:rsidP="008F19C5">
      <w:pPr>
        <w:spacing w:after="0" w:line="240" w:lineRule="auto"/>
        <w:ind w:firstLine="709"/>
        <w:jc w:val="both"/>
        <w:rPr>
          <w:rFonts w:ascii="Times New Roman" w:hAnsi="Times New Roman"/>
          <w:sz w:val="40"/>
          <w:szCs w:val="40"/>
          <w:lang w:val="kk-KZ"/>
        </w:rPr>
      </w:pPr>
    </w:p>
    <w:p w:rsidR="008F19C5" w:rsidRPr="00DF3F3B" w:rsidRDefault="008F19C5" w:rsidP="008F19C5">
      <w:pPr>
        <w:spacing w:after="0" w:line="240" w:lineRule="auto"/>
        <w:jc w:val="both"/>
        <w:rPr>
          <w:rFonts w:ascii="Times New Roman" w:hAnsi="Times New Roman"/>
          <w:b/>
          <w:sz w:val="28"/>
          <w:szCs w:val="28"/>
          <w:lang w:val="kk-KZ"/>
        </w:rPr>
      </w:pPr>
      <w:r w:rsidRPr="00C85BCF">
        <w:rPr>
          <w:rFonts w:ascii="Times New Roman" w:hAnsi="Times New Roman"/>
          <w:b/>
          <w:sz w:val="28"/>
          <w:szCs w:val="28"/>
          <w:lang w:val="kk-KZ"/>
        </w:rPr>
        <w:t xml:space="preserve"> </w:t>
      </w:r>
      <w:r w:rsidRPr="00C85BCF">
        <w:rPr>
          <w:rFonts w:ascii="Times New Roman" w:hAnsi="Times New Roman"/>
          <w:b/>
          <w:i/>
          <w:sz w:val="28"/>
          <w:szCs w:val="28"/>
          <w:lang w:val="kk-KZ"/>
        </w:rPr>
        <w:t>Минералды тыңайтқыштардың мөлшерін анықтау әдістемесі</w:t>
      </w:r>
      <w:r>
        <w:rPr>
          <w:rFonts w:ascii="Times New Roman" w:hAnsi="Times New Roman"/>
          <w:b/>
          <w:i/>
          <w:sz w:val="28"/>
          <w:szCs w:val="28"/>
          <w:lang w:val="kk-KZ"/>
        </w:rPr>
        <w:t>не келер болсақ,</w:t>
      </w:r>
      <w:r>
        <w:rPr>
          <w:rFonts w:ascii="Times New Roman" w:hAnsi="Times New Roman"/>
          <w:sz w:val="28"/>
          <w:szCs w:val="28"/>
          <w:lang w:val="kk-KZ"/>
        </w:rPr>
        <w:t xml:space="preserve"> а</w:t>
      </w:r>
      <w:r w:rsidRPr="00AC5888">
        <w:rPr>
          <w:rFonts w:ascii="Times New Roman" w:hAnsi="Times New Roman"/>
          <w:sz w:val="28"/>
          <w:szCs w:val="28"/>
          <w:lang w:val="kk-KZ"/>
        </w:rPr>
        <w:t>уылшаруашылығы дақылдары үшін тыңайтқыштарды тиімді қолданудың маңызы өте зор.</w:t>
      </w:r>
      <w:r>
        <w:rPr>
          <w:rFonts w:ascii="Times New Roman" w:hAnsi="Times New Roman"/>
          <w:b/>
          <w:sz w:val="28"/>
          <w:szCs w:val="28"/>
          <w:lang w:val="kk-KZ"/>
        </w:rPr>
        <w:t xml:space="preserve"> </w:t>
      </w:r>
      <w:r w:rsidRPr="00AC5888">
        <w:rPr>
          <w:rFonts w:ascii="Times New Roman" w:hAnsi="Times New Roman"/>
          <w:sz w:val="28"/>
          <w:szCs w:val="28"/>
          <w:lang w:val="kk-KZ"/>
        </w:rPr>
        <w:t>Егіншілікте минералдық тыңайтқыштар көптен қолданылады және олардың өздерінің ерекшеліктеріне сәйкес әртүрлі өзгешеліктері мен түрлі қасиеттері бар. Олар- ды нақтылы білу – тыңайтқыштарды тиімді пайдалануға көмектеседі. Осыған орай әрбір шаруашылықта егілетін дақылдың бір сортының өзіне тыңайтқыш қолдану дозасы түрліше болып келеді.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Егіс танабының топырағының құнарлылығы мен өсімдіктің қоректік заттарды пайдалану қабілетіне сәйкес жоспарланған өнім алу мақсатында түзету жасалған мине- ралды тыңайтқыштың орташа мөлшерін оның дозасы дейді.</w:t>
      </w:r>
    </w:p>
    <w:p w:rsidR="008F19C5" w:rsidRPr="00DF3F3B" w:rsidRDefault="008F19C5" w:rsidP="008F19C5">
      <w:pPr>
        <w:spacing w:after="0" w:line="240" w:lineRule="auto"/>
        <w:ind w:firstLine="709"/>
        <w:jc w:val="both"/>
        <w:rPr>
          <w:rFonts w:ascii="Times New Roman" w:hAnsi="Times New Roman"/>
          <w:i/>
          <w:sz w:val="28"/>
          <w:szCs w:val="28"/>
          <w:lang w:val="kk-KZ"/>
        </w:rPr>
      </w:pPr>
      <w:r w:rsidRPr="00DF3F3B">
        <w:rPr>
          <w:rFonts w:ascii="Times New Roman" w:hAnsi="Times New Roman"/>
          <w:i/>
          <w:sz w:val="28"/>
          <w:szCs w:val="28"/>
          <w:lang w:val="kk-KZ"/>
        </w:rPr>
        <w:t xml:space="preserve">Тыңайтқыш мөлшерін анықтау принциптері </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Тыңайтқыш дозасын дұрыс анықтау – дақылдардан алы- натын өнімнің қалыптасуының басты шарты болып санала- ды. Тыңайтқыш дозасы көптеген агротехникалық шараларды жүзеге асырумен тығыз байланысты. Ол үшін дақылдар мен олардың сорттарының биологиялық ерекшеліктерін, табиғи жағдайлар мен топырақ құнарлылығын, топырақты мелио- рациялауды, агротехникалық жағдайларды ескеру керек.</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Өсімдік қоректік элементтерді өзінің биологиялық ерекшеліктеріне сәйкес қажет етеді. Сондықтан әр өсімдікте және оның жеке мүшелерінде элементтердің мөлшері бірдей емес. Өсімдікке қанша қоректік заттар қажет болатыны өндірілетін өнім деңгейіне байланысты, осыған орай әрбір дақыл қоректік заттарды түрлі мөлшерде қабылдайды.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Тыңайтқыштың әсер ету тиімділігі мен оның түзетін қосымша өнім көлеміне қарай ауыл шаруашылығы дақылдарын мынадай ретпен орналастыруға болады: - техникалық және субтропикалық; - картоп және көкөністер; - жеміс-жидектер; - дәнді дақылдар; - малазықтық дақылдар. Техникалық дақылдар дәнді дақылдарға қарағанда қоректік заттарды анағұрлым көп пайдаланады. Мәселен, мақта өсімдігі азоттың 70%-ын, фосфордың 50%-ын шанақтанудан бастап толық гүлдегенге дейін, ал қалған бөлігін пісетін кезінде пайдаланады. Қант қызылшасы жапырақтары мен тамыр қаулап өскен кезде азот, фосфор және калий элементтерін молырақ мөлшерде қажет етеді. Өйткені бұл кезде өсімдіктің мүшелерінде жаңа жасушалар пайда болады. Күздік бидай барлық азот пен фосфордың төрттен үш бөлігін түптену мен гүлдеудің арасындағы мерзімде бойына сіңіреді.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Жаздық бидай өзінің өсіп-жетілуіне қажетті азот пен фосфордың 70%-ын, калийдің 90%-ын түптену мен масақтану кезеңдерінің аралығында пайдаланады. Жүгері өсімдігі өзінің өсуінің барлық кезеңіңде фосфорды біркелкі сіңіріп отырады. Күріш дақылы әсіресе қоректік заттарды төрт жапырақ пайда болғаннан бастап түптенгенше қажет етеді. Бұл өсімдік көктегеннен бастап толық түптенгенше азот пен фосфордың 70-90%-ын қабылдайды. Картоп өсімдігі қоректік әлементтердің негізгі бөлігін шанақтану мен гүлдеу кезеңдерінде пайдаланады. Бұл оның жер бетіндегі мүшелерінің неғұрлым қаулап өсетін мерзіміне сәйкес келеді. Көкөніс дақылдарының барлығы қоректік заттардың топырақта мол болғанын қалайды. Мәселен, орамжапырақ бас жарған кезде өзінің өсіп-жетілуі кезінде қажет болатын жалпы азот, фосфор және калийдің 80%-ын пайдаланады.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Табиғи жағдайлар мен топырақ құнарлылығы. Минералдық тыңайтқыштардың неғұрлым тиімді мөлшерін қолдану үшін республикамыздың әрбір табиғат аймағының ауа-райын және топырағының ерекшелігін жете білу керек. Өйткені осы жағдайларды ескере отырып дақылдарға арналған тыңайтқыш мөлшерін қолданудың маңызы зор. Қазақстан территориясы алты табиғат аймағына бөлінеді. Осы табиғат аймақтарының климаты мен топырағы біріне- бірі мүлде ұқсамайды, олардың өздеріне тән ерекшеліктері болады. Аталған табиғат аймақтары мыналар: 1) далалық егіншілік аймағы; 2) қуаң далалық егіншілік аймағы; 3) шөлейтті аймақ; 4) шөлді аймақ ; 5) Тянь-Шань тау бөктері аймағы; 6) Алтай тау бөктері аймағы.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Далалық аймақтың климат жағдайы негізінен астық өндіру үшін қолайлы. Бұл аймақтың терістік және орталық бөліктерінде бір жыл ішінде орта есеппен 300-750 мм ылғал түссе, ал аймақтың оңтүстік-батыс және шығыс жағында ылғал мөлшері 250-275 мм-ге дейін кемиді. Осы жауын- шашынның жартысына жуығы жаз айларында (маусым, шілде, тамыз) түседі. Бұл аймақта ауаның жылылығы көктемде (сәуір айының орта кезінде) +100 С, ал жаздың ашық күндерінде ауаның температурасы +27-300 С дейін жоғарылайды. Көктемнен күзге дейінгі жылылықтың жиынтығы орта есеппен 2050- 2350 градус. Қуаң далалық аймақтың климаттық жағдайы құрғақ келеді. Оның батыс, орталық және шығыс бөлігінің солтүстік жағында жылына орта есеппен 250-300 мм жауын-шашын түседі.</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Жылдық жауын-шашынның 80%-ы маусым-шілде айларында түседі. Ауыл шаруашылығы дақылдары қаулап өсетін мерзім ішіндегі ауаның пайдалы температурасының жиынтығы орта есеппен 2300-2400 градусты құрайды. Шөлейт және шөлді аймақтарда ылғал өте аз түседі (100-200 мм). Бұл аймақтарда көбінесе мақта, күріш, көкөніс, жүгері сияқты суарылатын дақылдар өсіріледі. Суармалы егіске қолданылған минералдық тыңайтқыш жоғары нәтиже береді. Тянь-Шань және Алтай тауларының бөктеріндегі аймақтарда ылғал біршама жеткілікті болады. Тянь-Шань тау бөктерінде жауын-шашынның жылдық жиынтығы – 200-400 мм, ал Алтай аймағының солтүстігінде – 550-650 мм, оңтүстік бөлігінде – 325-480 мм жетеді. Сонымен республика территориясының табиғи-климат жағдайлары сан-алуан болғандықтан, әрбір аймақта өсірілетін дақылдардың қатаң климатқа төзімділігін білудің маңызы зор. Енді жоғарыда аталған аймақтарда кездесетін топырақтардың түрлеріне және олардың ерекшеліктеріне қысқаша тоқталайық. Өйткені, топырақ ерекшеліктерін білмейінше, қолданылатын тыңайтқыш мөлшерін дұрыс анықтау мүмкін емес және дақылдардан тиянақты өнім күту қиын.</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Далалық аймақтың негізгі топырақтары: орманды-сұр топырақтың қарашірінділі А қабатының қалындығы 18-25 см және онда 3-6% қарашірінді болады. Сілтісізденген қара топырақ бұл аймақта көп кездеседі. Бұл топырақта 6-9% қарашірінді, 0,5-0,6% жалпы азот, 0,25-0,30% шамасында фосфор кездеседі. Далалық аймақтың оңтүстік бөлігінде ең құнарлы топырақ – кәдімгі қара топырақ және карбонатты қара топырақ кездеседі. Кәдімгі қара топырақта 7-9% мөлшерінде қарашірінді, ал 1 кг-да 137 мг сіңімді азот, 18 мг жылжымалы фосфор және 406 мг алмаспалы калий болады. Сондықтан фосфор тыңайтқышын пайдаланудың маңызы орасан зор. Карбонатты қара топырақтың үстіңгі қабатында 5-7% қарашірінді, 0,3- 228 229 0,4% жалпы азот, 0,13-0,15 жалпы фосфор, 3,4-3,5% жалпы калий кездеседі. Құрамында жылжымалы фосфор небәрі 8-14 мг/кг болатындықтан, фосфор тыңайтқышын қолдану маңызды рөл атқарады.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Далалық аймақта бұлардан басқа аз көлемде оңтүстіктің қара топырағы, шалғынды батпақтанған т.б. топырақ түрлері кездеседі. Қуан далалық аймақта кездесетін оңтүстіктің қарашіріндісі аз топырақ құрамында қара шірінді мөлшері 4-6% шамасында болады. Қара-қоңыр топырақ қуан далалық аймақтың негізгі бөлігін алып жатыр. Оның құрамында 3-4% қарашірінді болады. Табиғи-климат жағдайларының, аналық топырақ түзу жыныстарының ерекшеліктеріне байланысты қара-қоңыр топырақтың кәдімгі, карбонатты, кебірленген түрлері кездеседі. Олар физикалық және агрохимиялық қасиеттері жағынан бір-бірінен едәуір өзгеше болады.</w:t>
      </w:r>
    </w:p>
    <w:p w:rsidR="008F19C5" w:rsidRPr="00AC5888"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Шөлейт аймақтың ашық қара топырағында қарашірінді мөлшері 1,5-2,5% шамасында. Бұл топырақ калийге аса бай, ал фосфордың жалпы қоры көп болғанымен, оның жылжымалы түрі аз болады. Шөл аймақта негізінен қызғылт және ашық-қызғылт топырақтар кездеседі. Қоңыр топырақта қарашірінді 1-2%, үстінгі жағы карбонатты болады және тұзы жер бетіне жақын жатады (40-65 см тереңдікте). Тянь-Шань тауының бөктеріндегі аймақтың топырағы тік белдеулерде орналасады. Аймақта боз және ашық қара-қоңыр топырақ басым. Боз топырақ түрлерінде 0,7- 1,5% қарашірінді болады, оның қарашірінді қабатының қалындығы 10-12 см-ден аспайды. Бұл топырақтың механикалық құрамы көбінесе орташа және ауыр саздақты болып келеді. Боз топырақтың агрохимиялық жағынан өзгешелігі – калий элементіне аса бай, ал азот өте аз болады. Сондықтан азот тыңайтқышын көбірек қолдану керек. Аймақтың ашық қара-қоңыр топырағының түрлерінің үстінгі қабатының бір килограмында 28-35 мг жеңіл ыдырайтын азот, 15-18 мг жылжымалы фосфор және 285- 412 мг аралығында алмаспалы калий болады. Алтай аймағының тау бөктерінің кәдімгі қара топырағының қарашірінді қабатының қалындығы 60-75 см, оның жыртылатын қабатындағы қарашірінді мөлшері 6% шамасында.</w:t>
      </w:r>
    </w:p>
    <w:p w:rsidR="008F19C5" w:rsidRDefault="008F19C5" w:rsidP="008F19C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Топырақты мелиорациялау оның су, ауа және қоректік заттармен қамтамасыз ету режимін жақсартуға, оны эрозиядан қорғауға, топырақ ортасының реакциясын бейтараптауға, тыңайтқыш тиімділігін арттыруға бағытталған шаралардың жиынтығы. Мелиорацияға егістік жерлерді құрғату, суландыру, топыраққа химиялық заттар (әк, гипс, фосфогипс) беру т.б. шаралар жатады. Мелиорацияланған жерлерге минералдық тыңайтқыш қолдану – дақылдардан алынатын қосымша өнім деңгейін көтеруге мүмкіндік береді. Агротехникалық жағдайлар тыңайтқыш мөлшерін белгілеуде және оны тиімді қолдануда басты фактордың бірі болып саналады. Тыңайтқыш тиімділігіне әсер ететін ең негізгі агротехникалық жағдайларға ауыспалы егіс, топырақты өңдеу жүйесі, тұқымды себу мөлшері мен мерзімі, арамшөптермен, өсімдік зиянкестерімен, ауруларымен күресу шараларды жатады. Ауыспалы егісте алғы дақылдардың ішінде әсіресе тыңайтқыш тиімділігіне таза пар мен бұршақ тұқымдас дақылдардың әсері зор. Ауыспалы егістегі көпжылдық шөптің бір гектарындағы тамыр жүйесінде 106-194 кг азот, 30-55 кг фосфор, 47-78 кг калий қорланады. Нәтижесінде көпжылдық шөптен кейін егілетін дақылға арналған азот тыңайтқышының мөлшерін 30-50%-ға дейін азайтуға болады. Керісінше, фосфор мен калий тыңайтқыштарының мөлшерін 20-30%-ға өсіру керек. Сонымен қатар алғы дақылға берілген минералдық тыңайтқыш келесі себілетін дақыл өнімін орта есеппен 10-20%-ға арттырады. Топырақты өңдеу жүйесін дұрыс сақтау, өсімдік 230 231 тамырының тыңайтқыш құрамындағы қоректік заттарды мол қабылдауына әсер етеді. Тыңайтқыш тиімділігін арттыру үшін тұқымның себу мөлшерін қатаң сақтау керек. Мәселен, бір гектар егістікте 200-250 мың жүгері балаусасы, 50-60 мың дәндік жүгері, 100-140 мың қант қызылшасы, 70-80 мың дана картоп өсімдіктері болған жағдайда олар тыңайтқыш құрамындағы қоректік заттарды тиімді пайдаланады. Дақылдардың суару мерзімін сақтау, егістікті арамшөптерден тазартып барып тыңайтқыш қолдану оның тиімділігін 2-3 есе жоғарылатады.</w:t>
      </w: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8F19C5" w:rsidRDefault="008F19C5" w:rsidP="008F19C5">
      <w:pPr>
        <w:spacing w:after="0" w:line="240" w:lineRule="auto"/>
        <w:ind w:firstLine="709"/>
        <w:jc w:val="both"/>
        <w:rPr>
          <w:rFonts w:ascii="Times New Roman" w:hAnsi="Times New Roman"/>
          <w:sz w:val="28"/>
          <w:szCs w:val="28"/>
          <w:lang w:val="kk-KZ"/>
        </w:rPr>
      </w:pPr>
    </w:p>
    <w:p w:rsidR="00BB2E30" w:rsidRPr="008F19C5" w:rsidRDefault="00BB2E30">
      <w:pPr>
        <w:rPr>
          <w:lang w:val="kk-KZ"/>
        </w:rPr>
      </w:pPr>
    </w:p>
    <w:sectPr w:rsidR="00BB2E30" w:rsidRPr="008F19C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8F19C5"/>
    <w:rsid w:val="006A0A44"/>
    <w:rsid w:val="008F19C5"/>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9C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19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F19C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2402</Words>
  <Characters>13695</Characters>
  <Application>Microsoft Office Word</Application>
  <DocSecurity>0</DocSecurity>
  <Lines>114</Lines>
  <Paragraphs>32</Paragraphs>
  <ScaleCrop>false</ScaleCrop>
  <Company/>
  <LinksUpToDate>false</LinksUpToDate>
  <CharactersWithSpaces>16065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2021-01-21T19:18:00Z</dcterms:created>
  <dcterms:modified xsi:type="dcterms:W3CDTF">2021-01-21T19:18:00Z</dcterms:modified>
</cp:coreProperties>
</file>